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E4EF3" w14:textId="3D6A4FCA" w:rsidR="00F55951" w:rsidRDefault="00F55951" w:rsidP="00E76773">
      <w:pPr>
        <w:pStyle w:val="Heading1"/>
      </w:pPr>
      <w:bookmarkStart w:id="0" w:name="_GoBack"/>
      <w:r>
        <w:t>Notes PLP PLE meeting</w:t>
      </w:r>
      <w:r w:rsidR="00E76773">
        <w:t>, Eastern Hemisphere</w:t>
      </w:r>
    </w:p>
    <w:bookmarkEnd w:id="0"/>
    <w:p w14:paraId="0C0FAB79" w14:textId="39B78D14" w:rsidR="00FD2426" w:rsidRDefault="00F55951">
      <w:r>
        <w:t>March 4, 2020</w:t>
      </w:r>
    </w:p>
    <w:p w14:paraId="51AC1912" w14:textId="6B23A22A" w:rsidR="00F55951" w:rsidRDefault="00F55951">
      <w:r>
        <w:t>Present: Teng</w:t>
      </w:r>
      <w:r w:rsidR="00DC64AC">
        <w:t xml:space="preserve"> Liaw</w:t>
      </w:r>
      <w:r>
        <w:t>, Peter</w:t>
      </w:r>
      <w:r w:rsidR="00DC64AC">
        <w:t xml:space="preserve"> Rijnbeek</w:t>
      </w:r>
      <w:r>
        <w:t xml:space="preserve">, Chen </w:t>
      </w:r>
      <w:proofErr w:type="spellStart"/>
      <w:r>
        <w:t>Yanover</w:t>
      </w:r>
      <w:proofErr w:type="spellEnd"/>
      <w:r>
        <w:t xml:space="preserve">, </w:t>
      </w:r>
      <w:proofErr w:type="spellStart"/>
      <w:r>
        <w:t>Jaehyeong</w:t>
      </w:r>
      <w:proofErr w:type="spellEnd"/>
      <w:r>
        <w:t xml:space="preserve"> Cho</w:t>
      </w:r>
      <w:r w:rsidR="000C5CF1">
        <w:t>, Nicole</w:t>
      </w:r>
      <w:r w:rsidR="000746ED">
        <w:t>, Seng Chan, Ian</w:t>
      </w:r>
      <w:r w:rsidR="00DC64AC">
        <w:t xml:space="preserve"> Wong</w:t>
      </w:r>
    </w:p>
    <w:p w14:paraId="5659C263" w14:textId="04AA5067" w:rsidR="00DC64AC" w:rsidRDefault="00DC64AC">
      <w:r>
        <w:t xml:space="preserve">Martijn presents on the new </w:t>
      </w:r>
      <w:proofErr w:type="spellStart"/>
      <w:r>
        <w:t>CohortDiagnostics</w:t>
      </w:r>
      <w:proofErr w:type="spellEnd"/>
      <w:r>
        <w:t xml:space="preserve"> package.</w:t>
      </w:r>
    </w:p>
    <w:p w14:paraId="052372D6" w14:textId="43D5A4B6" w:rsidR="00F55951" w:rsidRDefault="000746ED">
      <w:r>
        <w:t xml:space="preserve">Nicole: </w:t>
      </w:r>
      <w:r w:rsidR="00DC64AC">
        <w:t xml:space="preserve">Why is the incidence rate (IR) in the </w:t>
      </w:r>
      <w:r>
        <w:t>first year high?</w:t>
      </w:r>
      <w:r w:rsidR="00DC64AC">
        <w:t xml:space="preserve"> Perhaps because there is less prior observation time, and prevalent cases are classified as incident?</w:t>
      </w:r>
    </w:p>
    <w:p w14:paraId="76F7F815" w14:textId="29241613" w:rsidR="00DC64AC" w:rsidRDefault="00DC64AC">
      <w:r>
        <w:t>Martijn: I thought it was because the counts are small and therefore unstable. To be able to rule that out, I will also output the counts in addition to the incidence rate.</w:t>
      </w:r>
    </w:p>
    <w:p w14:paraId="66E5D69D" w14:textId="47E9CA2D" w:rsidR="000746ED" w:rsidRDefault="000746ED">
      <w:r>
        <w:t xml:space="preserve">Peter: </w:t>
      </w:r>
      <w:r w:rsidR="00DC64AC">
        <w:t xml:space="preserve">When comparing IRs across databases, could we </w:t>
      </w:r>
      <w:r>
        <w:t xml:space="preserve">force </w:t>
      </w:r>
      <w:r w:rsidR="00DC64AC">
        <w:t>the</w:t>
      </w:r>
      <w:r>
        <w:t xml:space="preserve"> y-axis to be the same?</w:t>
      </w:r>
    </w:p>
    <w:p w14:paraId="6EFDF2B1" w14:textId="28E5DCA1" w:rsidR="00DC64AC" w:rsidRDefault="00DC64AC">
      <w:r>
        <w:t>Martijn: I will add an option to do so.</w:t>
      </w:r>
    </w:p>
    <w:p w14:paraId="41F94FF9" w14:textId="22A7A0FA" w:rsidR="000746ED" w:rsidRDefault="000746ED">
      <w:r>
        <w:t xml:space="preserve">Peter: </w:t>
      </w:r>
      <w:r w:rsidR="00DC64AC">
        <w:t>Would be good to think of what to do if we observe something odd. Not always clear what the next step is, once a problem is spotted.</w:t>
      </w:r>
      <w:r>
        <w:t xml:space="preserve"> </w:t>
      </w:r>
    </w:p>
    <w:p w14:paraId="28D7B9FA" w14:textId="064C09C3" w:rsidR="000746ED" w:rsidRDefault="000746ED">
      <w:r>
        <w:t xml:space="preserve">Peter: </w:t>
      </w:r>
      <w:r w:rsidR="00DC64AC">
        <w:t xml:space="preserve">Perhaps </w:t>
      </w:r>
      <w:r>
        <w:t>standardize IR by WHO standard</w:t>
      </w:r>
      <w:r w:rsidR="00DC64AC">
        <w:t xml:space="preserve"> population</w:t>
      </w:r>
      <w:r>
        <w:t>?</w:t>
      </w:r>
    </w:p>
    <w:p w14:paraId="2E1F44E0" w14:textId="23A5DB3B" w:rsidR="00DC64AC" w:rsidRDefault="00DC64AC">
      <w:r>
        <w:t>Martijn: I agree that would be a nice-to-have. However, it is good to keep in mind that this is a cohort diagnostics tool, not a full IR calculator.</w:t>
      </w:r>
    </w:p>
    <w:p w14:paraId="40F1B870" w14:textId="15D5A4B8" w:rsidR="00AA7DF4" w:rsidRDefault="00AA7DF4">
      <w:r>
        <w:t xml:space="preserve">Peter: </w:t>
      </w:r>
      <w:r w:rsidR="00DC64AC">
        <w:t xml:space="preserve">The </w:t>
      </w:r>
      <w:r>
        <w:t xml:space="preserve">orphan codes </w:t>
      </w:r>
      <w:r w:rsidR="00DC64AC">
        <w:t xml:space="preserve">check </w:t>
      </w:r>
      <w:r>
        <w:t>require</w:t>
      </w:r>
      <w:r w:rsidR="00DC64AC">
        <w:t>s</w:t>
      </w:r>
      <w:r>
        <w:t xml:space="preserve"> English </w:t>
      </w:r>
      <w:r w:rsidR="00DC64AC">
        <w:t xml:space="preserve">(source) </w:t>
      </w:r>
      <w:r>
        <w:t>concept</w:t>
      </w:r>
      <w:r w:rsidR="00DC64AC">
        <w:t xml:space="preserve"> names? </w:t>
      </w:r>
    </w:p>
    <w:p w14:paraId="401CF2AC" w14:textId="4B6DDE3A" w:rsidR="00DC64AC" w:rsidRDefault="00DC64AC">
      <w:r>
        <w:t>Martijn: Yes, unfortunately so.</w:t>
      </w:r>
    </w:p>
    <w:p w14:paraId="616DF0AF" w14:textId="72D41886" w:rsidR="00AA7DF4" w:rsidRDefault="00AA7DF4">
      <w:r>
        <w:t xml:space="preserve">Seng Chan: </w:t>
      </w:r>
      <w:r w:rsidR="00DC64AC">
        <w:t>Instead of using substring search, could we use</w:t>
      </w:r>
      <w:r>
        <w:t xml:space="preserve"> Lucene-like tools to find similar codes based on similar patient features</w:t>
      </w:r>
      <w:r w:rsidR="00DC64AC">
        <w:t>?</w:t>
      </w:r>
    </w:p>
    <w:p w14:paraId="4DBDC64A" w14:textId="7C0D82B9" w:rsidR="00DC64AC" w:rsidRDefault="00DC64AC">
      <w:r>
        <w:t>Martijn: That is an excellent idea for a future research project!</w:t>
      </w:r>
    </w:p>
    <w:p w14:paraId="40A340DA" w14:textId="77777777" w:rsidR="00AA7DF4" w:rsidRDefault="00AA7DF4"/>
    <w:sectPr w:rsidR="00AA7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51"/>
    <w:rsid w:val="000746ED"/>
    <w:rsid w:val="000C5CF1"/>
    <w:rsid w:val="00997ADE"/>
    <w:rsid w:val="00AA7DF4"/>
    <w:rsid w:val="00DC64AC"/>
    <w:rsid w:val="00E76773"/>
    <w:rsid w:val="00F55951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D071"/>
  <w15:chartTrackingRefBased/>
  <w15:docId w15:val="{564A09C3-EA4E-4892-B31B-9BA1C4B6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4</cp:revision>
  <dcterms:created xsi:type="dcterms:W3CDTF">2020-03-04T07:01:00Z</dcterms:created>
  <dcterms:modified xsi:type="dcterms:W3CDTF">2020-03-05T05:47:00Z</dcterms:modified>
</cp:coreProperties>
</file>